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UZASADNIENIE</w:t>
      </w:r>
    </w:p>
    <w:p>
      <w:pPr>
        <w:pStyle w:val="Normal"/>
        <w:jc w:val="center"/>
        <w:rPr>
          <w:u w:val="single"/>
        </w:rPr>
      </w:pPr>
      <w:r>
        <w:rPr>
          <w:u w:val="single"/>
        </w:rPr>
      </w:r>
    </w:p>
    <w:p>
      <w:pPr>
        <w:pStyle w:val="Normal"/>
        <w:jc w:val="both"/>
        <w:rPr/>
      </w:pPr>
      <w:r>
        <w:rPr/>
        <w:t xml:space="preserve">W dniu 22 maja 2025 roku do Rady Miasta Płocka wpłynął wniosek Pana Jacka Jakóbika upoważnionego do działania w imieniu Gminy – Miasto Płock w zakresie opracowania dokumentacji projektowo-kosztorysowej realizowanej w ramach zadania inwestycyjnego pn. „Modernizacja Parku na Górkach- prace przygotowawcze” w rejonie oddziaływania pomników przyrody: </w:t>
      </w:r>
    </w:p>
    <w:p>
      <w:pPr>
        <w:pStyle w:val="Normal"/>
        <w:ind w:left="57" w:hanging="0"/>
        <w:jc w:val="both"/>
        <w:rPr/>
      </w:pPr>
      <w:r>
        <w:rPr/>
        <w:t xml:space="preserve">- </w:t>
      </w:r>
      <w:bookmarkStart w:id="0" w:name="_Hlk1988372031"/>
      <w:r>
        <w:rPr/>
        <w:t>dąb szypułkowy Quercus robur - rosnący na terenie działki nr 1010/7 obręb 8 Śródmieście w Parku na Górkach Podominikańskich; stanowiący pomnik przyrody ustanowiony uchwałą Rady Miasta Płocka Nr 186/XI/2019 z dnia 29 sierpnia 2019 r. w sprawie ustanowienia 12 sztuk drzew pomnikami przyrody (współrzędne – X: 7411358,1447 Y: 5823744,1447),</w:t>
      </w:r>
      <w:bookmarkEnd w:id="0"/>
    </w:p>
    <w:p>
      <w:pPr>
        <w:pStyle w:val="Normal"/>
        <w:ind w:left="57" w:hanging="0"/>
        <w:jc w:val="both"/>
        <w:rPr/>
      </w:pPr>
      <w:r>
        <w:rPr/>
        <w:t>-  dąb szypułkowy Quercus robur - rosnący na terenie działki nr 1010/1 obręb 8 Śródmieście w Parku na Górkach Podominikańskich; stanowiący pomnik przyrody ustanowiony uchwałą Rady Miasta Płocka Nr 186/XI/2019 z dnia 29 sierpnia 2019 r. w sprawie ustanowienia 12 sztuk drzew pomnikami przyrody (współrzędne – X: 7411303,9596 Y: 5823777,0048).</w:t>
      </w:r>
    </w:p>
    <w:p>
      <w:pPr>
        <w:pStyle w:val="Normal"/>
        <w:jc w:val="both"/>
        <w:rPr/>
      </w:pPr>
      <w:r>
        <w:rPr/>
        <w:t xml:space="preserve">Zgodnie z art. 18 ust. 2 pkt 15 ustawy z dnia 8 marca 1990 r. o samorządzie gminnym (tj. Dz. U. z 2024r. poz. 1465 ze zm.) do wyłącznej właściwości Rady Miasta należy podejmowanie uchwał w sprawach stanowienia w innych sprawach zastrzeżonych ustawami do kompetencji rady gminy. Regulacja art. 45 ust. 2 pkt 2 ustawy o ochronie przyrody z dnia 16 kwietnia 2004 r. – dalej u.o.p. zawiera normę kompetencyjną, upoważniającą organ ustanawiający daną formę ochrony przyrody do uzgodnienia odstępstwa od zakazów, o których mowa w art. 45 ust. 1 u.o.p. </w:t>
      </w:r>
    </w:p>
    <w:p>
      <w:pPr>
        <w:pStyle w:val="Normal"/>
        <w:jc w:val="both"/>
        <w:rPr/>
      </w:pPr>
      <w:r>
        <w:rPr/>
        <w:t xml:space="preserve">W przypadku pomników przyrody o współrzędnych X: 7411358,1447 Y: 5823744,1447 i X: 7411303,9596                       Y: 5823777,0048 organem właściwym jest Rada Miasta Płocka. Zadaniem Rady jest wyłącznie zweryfikowanie możliwości zastosowania rozwiązania alternatywnego, uzgodnienie odstępstw od nałożonych zakazów. Regulacja powyższa nie przyznaje również kompetencji Prezydentowi do dokonania uzgodnienia. Takie kompetencje przysługują co do zasady organowi wykonawczemu, ale tylko w przypadkach przewidzianych prawem materialnym. Regulacja art. 45 ust. 2 pkt 2 ustawy o ochronie przyrody takiej kompetencji nie przyznaje wójtowi, burmistrzowi lub prezydentowi miasta, w szczególności art. 44 i art. 45 ust. 2 pkt 2 ustawy o.p. nie dają podstaw do uzgodnienia celu publicznego. </w:t>
      </w:r>
    </w:p>
    <w:p>
      <w:pPr>
        <w:pStyle w:val="Normal"/>
        <w:jc w:val="both"/>
        <w:rPr/>
      </w:pPr>
      <w:r>
        <w:rPr/>
        <w:t xml:space="preserve">Powszechnie przyjmuje się, że organy muszą uwzględniać wytyczne zawarte w upoważnieniu ustawowym, a normy kompetencyjne powinny być interpretowane w sposób ścisły, literalny. </w:t>
      </w:r>
    </w:p>
    <w:p>
      <w:pPr>
        <w:pStyle w:val="Normal"/>
        <w:jc w:val="both"/>
        <w:rPr/>
      </w:pPr>
      <w:r>
        <w:rPr/>
        <w:t xml:space="preserve">Do czasu określenia zasad Prezydent może dokonywać tych czynności wyłącznie za zgodą Rady Miasta Płocka. </w:t>
      </w:r>
    </w:p>
    <w:p>
      <w:pPr>
        <w:pStyle w:val="Normal"/>
        <w:jc w:val="both"/>
        <w:rPr/>
      </w:pPr>
      <w:r>
        <w:rPr/>
        <w:t xml:space="preserve">Projektowane prace będą przebiegały w strefie ochronnej pomnika przyrody, w odległości mniejszej niż 15 metrów od obiektu objętego ochroną. Zgodnie z art. 45 ust. 2 pkt 2 ustawy o ochronie przyrody zakazy w stosunku do pomników przyrody nie dotyczą realizacji inwestycji celu publicznego w przypadku braku rozwiązań alternatywnych, po uzgodnieniu z organem ustanawiającym daną formę ochrony przyrody, którym na podstawie art. 44 ust. 1 jest rada miasta. </w:t>
      </w:r>
    </w:p>
    <w:p>
      <w:pPr>
        <w:pStyle w:val="Normal"/>
        <w:jc w:val="both"/>
        <w:rPr/>
      </w:pPr>
      <w:r>
        <w:rPr/>
        <w:t>Wobec powyższego podjęcie niniejszej uchwały jest zasadne.</w:t>
      </w:r>
    </w:p>
    <w:p>
      <w:pPr>
        <w:pStyle w:val="Normal"/>
        <w:jc w:val="both"/>
        <w:rPr/>
      </w:pPr>
      <w:r>
        <w:rPr/>
      </w:r>
    </w:p>
    <w:p>
      <w:pPr>
        <w:pStyle w:val="Normal"/>
        <w:ind w:left="-567" w:hanging="0"/>
        <w:jc w:val="both"/>
        <w:rPr/>
      </w:pPr>
      <w:r>
        <w:rPr/>
      </w:r>
    </w:p>
    <w:p>
      <w:pPr>
        <w:pStyle w:val="Normal"/>
        <w:ind w:left="-567" w:hanging="0"/>
        <w:jc w:val="both"/>
        <w:rPr/>
      </w:pPr>
      <w:r>
        <w:rPr/>
      </w:r>
    </w:p>
    <w:p>
      <w:pPr>
        <w:pStyle w:val="Normal"/>
        <w:ind w:left="-567" w:hanging="0"/>
        <w:jc w:val="both"/>
        <w:rPr/>
      </w:pPr>
      <w:r>
        <w:rPr/>
      </w:r>
    </w:p>
    <w:p>
      <w:pPr>
        <w:pStyle w:val="Normal"/>
        <w:ind w:left="-567" w:hanging="0"/>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ab/>
        <w:tab/>
        <w:tab/>
        <w:tab/>
        <w:tab/>
        <w:tab/>
        <w:tab/>
        <w:tab/>
        <w:t xml:space="preserve">           Załącznik </w:t>
      </w:r>
    </w:p>
    <w:p>
      <w:pPr>
        <w:pStyle w:val="Normal"/>
        <w:jc w:val="both"/>
        <w:rPr/>
      </w:pPr>
      <w:r>
        <w:rPr/>
        <w:tab/>
        <w:tab/>
        <w:tab/>
        <w:tab/>
        <w:tab/>
        <w:tab/>
        <w:tab/>
        <w:tab/>
        <w:t xml:space="preserve">           do Uchwały Rady Miasta Płocka</w:t>
      </w:r>
    </w:p>
    <w:p>
      <w:pPr>
        <w:pStyle w:val="Normal"/>
        <w:jc w:val="both"/>
        <w:rPr/>
      </w:pPr>
      <w:r>
        <w:rPr/>
        <w:t xml:space="preserve">  </w:t>
      </w:r>
      <w:r>
        <w:rPr/>
        <w:tab/>
        <w:tab/>
        <w:tab/>
        <w:tab/>
        <w:tab/>
        <w:tab/>
        <w:tab/>
        <w:tab/>
        <w:t xml:space="preserve">           Nr …………….. z dnia ………2025r.</w:t>
      </w:r>
    </w:p>
    <w:p>
      <w:pPr>
        <w:pStyle w:val="Normal"/>
        <w:rPr>
          <w:b/>
          <w:b/>
          <w:bCs/>
        </w:rPr>
      </w:pPr>
      <w:r>
        <w:rPr>
          <w:b/>
          <w:bCs/>
        </w:rPr>
      </w:r>
    </w:p>
    <w:p>
      <w:pPr>
        <w:pStyle w:val="Normal"/>
        <w:jc w:val="center"/>
        <w:rPr/>
      </w:pPr>
      <w:r>
        <w:rPr>
          <w:b/>
          <w:bCs/>
        </w:rPr>
        <w:t xml:space="preserve">Szczegółowe warunki realizacji robót budowlanych w strefie ochronnej </w:t>
      </w:r>
    </w:p>
    <w:p>
      <w:pPr>
        <w:pStyle w:val="Normal"/>
        <w:jc w:val="center"/>
        <w:rPr/>
      </w:pPr>
      <w:r>
        <w:rPr>
          <w:b/>
          <w:bCs/>
        </w:rPr>
        <w:t>pomnika przyrody</w:t>
      </w:r>
      <w:r>
        <w:rPr/>
        <w:t xml:space="preserve"> </w:t>
      </w:r>
    </w:p>
    <w:p>
      <w:pPr>
        <w:pStyle w:val="Normal"/>
        <w:jc w:val="center"/>
        <w:rPr/>
      </w:pPr>
      <w:r>
        <w:rPr/>
      </w:r>
    </w:p>
    <w:p>
      <w:pPr>
        <w:pStyle w:val="Normal"/>
        <w:jc w:val="both"/>
        <w:rPr/>
      </w:pPr>
      <w:r>
        <w:rPr/>
        <w:t xml:space="preserve">Inwestycja polegająca na: Opracowaniu kompletnej dokumentacji projektowo - kosztorysowej zagospodarowania Parku na Górkach Podominikańskich w ramach zadania inwestycyjnego pn. „Modernizacja Parku na Górkach - prace przygotowawcze w Płocku” w rejonie oddziaływania pomników przyrody: </w:t>
      </w:r>
    </w:p>
    <w:p>
      <w:pPr>
        <w:pStyle w:val="Normal"/>
        <w:jc w:val="both"/>
        <w:rPr/>
      </w:pPr>
      <w:r>
        <w:rPr/>
        <w:t xml:space="preserve">- </w:t>
      </w:r>
      <w:bookmarkStart w:id="1" w:name="_Hlk19883720311"/>
      <w:r>
        <w:rPr/>
        <w:t>dąb szypułkowy Quercus robur - rosnący na terenie działki nr 1010/7 obręb 8 Śródmieście w Parku na Górkach Podominikańskich; stanowiący pomnik przyrody ustanowiony uchwałą Rady Miasta Płocka Nr 186/XI/2019 z dnia 29 sierpnia 2019 r. w sprawie ustanowienia 12 sztuk drzew pomnikami przyrody (współrzędne – X: 7411358,1447 Y: 5823744,1447),</w:t>
      </w:r>
      <w:bookmarkEnd w:id="1"/>
    </w:p>
    <w:p>
      <w:pPr>
        <w:pStyle w:val="Normal"/>
        <w:jc w:val="both"/>
        <w:rPr/>
      </w:pPr>
      <w:r>
        <w:rPr/>
        <w:t>-  dąb szypułkowy Quercus robur - rosnący na terenie działki nr 1010/1 obręb 8 Śródmieście w Parku na Górkach Podominikańskich; stanowiący pomnik przyrody ustanowiony uchwałą Rady Miasta Płocka Nr 186/XI/2019 z dnia 29 sierpnia 2019 r. w sprawie ustanowienia 12 sztuk drzew pomnikami przyrody (współrzędne – X: 7411303,9596 Y: 5823777,0048), może być realizowana w strefie oddziaływania na pomnik przyrody przy zachowaniu następujących warunków:</w:t>
      </w:r>
    </w:p>
    <w:p>
      <w:pPr>
        <w:pStyle w:val="Normal"/>
        <w:rPr/>
      </w:pPr>
      <w:r>
        <w:rPr/>
      </w:r>
    </w:p>
    <w:p>
      <w:pPr>
        <w:pStyle w:val="ListParagraph"/>
        <w:numPr>
          <w:ilvl w:val="0"/>
          <w:numId w:val="1"/>
        </w:numPr>
        <w:jc w:val="both"/>
        <w:rPr/>
      </w:pPr>
      <w:r>
        <w:rPr/>
        <w:t xml:space="preserve">o rozpoczęciu i zakończeniu prac należy poinformować Wydział Spraw Komunalnych z co najmniej                3-dniowym wyprzedzeniem; </w:t>
      </w:r>
    </w:p>
    <w:p>
      <w:pPr>
        <w:pStyle w:val="ListParagraph"/>
        <w:numPr>
          <w:ilvl w:val="0"/>
          <w:numId w:val="1"/>
        </w:numPr>
        <w:jc w:val="both"/>
        <w:rPr/>
      </w:pPr>
      <w:r>
        <w:rPr/>
        <w:t xml:space="preserve">wykonawca zobowiązany jest do stosowania się do zasad i obowiązków wynikających z zapisów Zarządzenia Prezydenta Miasta Płocka Nr 4268/2023 z dnia 30 maja 2023r. w sprawie: zmiany zarządzenia nr 2738/2021 Prezydenta Miasta Płocka z dnia 14 października 2021r. w sprawie ustalenia zasad ochrony zieleni przy planowaniu i realizacji inwestycji miejskich oraz powołania Zespołu do spraw gospodarowania zielenią w procesie inwestycyjnym oraz wprowadzenia tekstu jednolitego,                    a w przypadku ich nieprzestrzegania ponoszenia skutków opisanych w zarządzeniu; </w:t>
      </w:r>
    </w:p>
    <w:p>
      <w:pPr>
        <w:pStyle w:val="ListParagraph"/>
        <w:numPr>
          <w:ilvl w:val="0"/>
          <w:numId w:val="1"/>
        </w:numPr>
        <w:jc w:val="both"/>
        <w:rPr/>
      </w:pPr>
      <w:r>
        <w:rPr/>
        <w:t xml:space="preserve">z uwagi na to, iż na terenie planowanej do realizacji inwestycji znajdują się drzewa będące pomnikami przyrody, należy: </w:t>
      </w:r>
    </w:p>
    <w:p>
      <w:pPr>
        <w:pStyle w:val="ListParagraph"/>
        <w:ind w:left="1440" w:hanging="0"/>
        <w:jc w:val="both"/>
        <w:rPr/>
      </w:pPr>
      <w:r>
        <w:rPr/>
        <w:t xml:space="preserve">a. wykluczyć wszelkie kolizji w obrębie SOD (na etapie projektu i realizacji prac), bez możliwości odstępstw; </w:t>
      </w:r>
    </w:p>
    <w:p>
      <w:pPr>
        <w:pStyle w:val="ListParagraph"/>
        <w:ind w:left="1440" w:hanging="0"/>
        <w:jc w:val="both"/>
        <w:rPr/>
      </w:pPr>
      <w:r>
        <w:rPr/>
        <w:t xml:space="preserve">b. należy wykonać szczególne zabezpieczenia, ponieważ zagrożone są one szkodliwym oddziaływaniem inwestycji. W tym przypadkach konieczne jest: - rozpisanie szczegółowego planu nadzoru; </w:t>
      </w:r>
    </w:p>
    <w:p>
      <w:pPr>
        <w:pStyle w:val="ListParagraph"/>
        <w:ind w:left="1440" w:hanging="0"/>
        <w:jc w:val="both"/>
        <w:rPr/>
      </w:pPr>
      <w:r>
        <w:rPr/>
        <w:t xml:space="preserve">- prowadzenie prac pod nadzorem dendrologicznym przez osobę posiadającą odpowiednie uprawnienia oraz doświadczenie w prowadzeniu tego typu prac; </w:t>
      </w:r>
    </w:p>
    <w:p>
      <w:pPr>
        <w:pStyle w:val="ListParagraph"/>
        <w:numPr>
          <w:ilvl w:val="0"/>
          <w:numId w:val="1"/>
        </w:numPr>
        <w:jc w:val="both"/>
        <w:rPr/>
      </w:pPr>
      <w:r>
        <w:rPr/>
        <w:t xml:space="preserve">zabezpieczenie drzew pomnikowych należy wykonać zgodnie z przedłożonym projektem ochrony zieleni wykonanym na potrzeby realizacji zadania inwestycyjnego pn. „Modernizacja Parku na Górkach - prace przygotowawcze w Płocku” pozytywnie zaopiniowanego przez Wydział Kształtowania Środowiska Referat Ochrony Przyrody; </w:t>
      </w:r>
    </w:p>
    <w:p>
      <w:pPr>
        <w:pStyle w:val="ListParagraph"/>
        <w:numPr>
          <w:ilvl w:val="0"/>
          <w:numId w:val="1"/>
        </w:numPr>
        <w:jc w:val="both"/>
        <w:rPr/>
      </w:pPr>
      <w:r>
        <w:rPr/>
        <w:t xml:space="preserve">podczas realizacji tej inwestycji należy zapewnić ciągły nadzór dendrologiczny osoby posiadającą odpowiednie uprawnienia oraz doświadczenie w prowadzeniu tego typu prac, a także monitorowanie stanu roślin; </w:t>
      </w:r>
    </w:p>
    <w:p>
      <w:pPr>
        <w:pStyle w:val="ListParagraph"/>
        <w:numPr>
          <w:ilvl w:val="0"/>
          <w:numId w:val="1"/>
        </w:numPr>
        <w:jc w:val="both"/>
        <w:rPr/>
      </w:pPr>
      <w:r>
        <w:rPr/>
        <w:t xml:space="preserve">należy wykonać oznaczenie SOD PP (strefy ochrony drzew pomników przyrody) na terenie budowy poprzez umieszczenie tablic zawierających przykładową informację: „Strefa ochrony drzewa. Zakaz wstępu, prowadzenia robót ziemnych, składowania i wylewania materiałów budowlanych oraz środków chemicznych, wjazdu poza wyznaczonymi drogami technologicznymi"; </w:t>
      </w:r>
    </w:p>
    <w:p>
      <w:pPr>
        <w:pStyle w:val="ListParagraph"/>
        <w:numPr>
          <w:ilvl w:val="0"/>
          <w:numId w:val="1"/>
        </w:numPr>
        <w:jc w:val="both"/>
        <w:rPr/>
      </w:pPr>
      <w:r>
        <w:rPr/>
        <w:t xml:space="preserve">na terenie budowy niedopuszczalne są wszelkie działania mogące mieć negatywny wpływ na kondycję drzew pomnikowych; </w:t>
      </w:r>
    </w:p>
    <w:p>
      <w:pPr>
        <w:pStyle w:val="ListParagraph"/>
        <w:numPr>
          <w:ilvl w:val="0"/>
          <w:numId w:val="1"/>
        </w:numPr>
        <w:jc w:val="both"/>
        <w:rPr/>
      </w:pPr>
      <w:r>
        <w:rPr/>
        <w:t xml:space="preserve">w strefie ochrony drzewa niedopuszczalne jest lokowanie: </w:t>
      </w:r>
    </w:p>
    <w:p>
      <w:pPr>
        <w:pStyle w:val="ListParagraph"/>
        <w:jc w:val="both"/>
        <w:rPr/>
      </w:pPr>
      <w:r>
        <w:rPr/>
        <w:t xml:space="preserve">- obiektów tymczasowych (np. biura i budynków socjalnych budowy, toalet, itp.); </w:t>
      </w:r>
    </w:p>
    <w:p>
      <w:pPr>
        <w:pStyle w:val="ListParagraph"/>
        <w:jc w:val="both"/>
        <w:rPr/>
      </w:pPr>
      <w:r>
        <w:rPr/>
        <w:t xml:space="preserve">- placów postojowych i składowisk materiałów budowlanych, kruszyw, gruntów i środków chemicznych; </w:t>
      </w:r>
    </w:p>
    <w:p>
      <w:pPr>
        <w:pStyle w:val="ListParagraph"/>
        <w:jc w:val="both"/>
        <w:rPr/>
      </w:pPr>
      <w:r>
        <w:rPr/>
        <w:t xml:space="preserve">- dróg poruszania się sprzętu, maszyn i pojazdów obsługujących budowę, bez odpowiedniego zabezpieczenia podłoża przed zagęszczaniem i ingerencją w system korzeniowy drzewa; </w:t>
      </w:r>
    </w:p>
    <w:p>
      <w:pPr>
        <w:pStyle w:val="ListParagraph"/>
        <w:jc w:val="both"/>
        <w:rPr/>
      </w:pPr>
      <w:r>
        <w:rPr/>
        <w:t xml:space="preserve">- miejsc wysypywania lub wylewania odpadów powstających w procesie budowlanym, w tym z płukania i mycia maszyn i narzędzi oraz resztek substancji chemicznych wykorzystywanych w procesie budowlanym. </w:t>
      </w:r>
    </w:p>
    <w:p>
      <w:pPr>
        <w:pStyle w:val="ListParagraph"/>
        <w:jc w:val="both"/>
        <w:rPr/>
      </w:pPr>
      <w:r>
        <w:rPr/>
        <w:t>- niedopuszczalne jest montowanie elementów obcych na drzewach z wyjątkiem obiektów służących ochronie przyrody (np. budki lęgowe, karmniki, znakowanie drzew).</w:t>
      </w:r>
    </w:p>
    <w:sectPr>
      <w:type w:val="nextPage"/>
      <w:pgSz w:w="11906" w:h="16838"/>
      <w:pgMar w:left="986" w:right="946"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dda"/>
    <w:pPr>
      <w:widowControl/>
      <w:suppressAutoHyphens w:val="true"/>
      <w:bidi w:val="0"/>
      <w:spacing w:lineRule="auto" w:line="259" w:before="0" w:after="0"/>
      <w:jc w:val="left"/>
    </w:pPr>
    <w:rPr>
      <w:rFonts w:ascii="Times New Roman" w:hAnsi="Times New Roman" w:eastAsia="Calibri" w:cs="" w:cstheme="minorBidi" w:eastAsia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be0dda"/>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be0dda"/>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be0dda"/>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be0dda"/>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be0dda"/>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be0dda"/>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be0dda"/>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be0dda"/>
    <w:pPr>
      <w:keepNext w:val="true"/>
      <w:keepLines/>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be0dda"/>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be0dda"/>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uiPriority w:val="9"/>
    <w:semiHidden/>
    <w:qFormat/>
    <w:rsid w:val="00be0dda"/>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uiPriority w:val="9"/>
    <w:semiHidden/>
    <w:qFormat/>
    <w:rsid w:val="00be0dda"/>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uiPriority w:val="9"/>
    <w:semiHidden/>
    <w:qFormat/>
    <w:rsid w:val="00be0dda"/>
    <w:rPr>
      <w:rFonts w:eastAsia="" w:cs="" w:cstheme="majorBidi" w:eastAsiaTheme="majorEastAsia"/>
      <w:i/>
      <w:iCs/>
      <w:color w:val="2F5496" w:themeColor="accent1" w:themeShade="bf"/>
    </w:rPr>
  </w:style>
  <w:style w:type="character" w:styleId="Nagwek5Znak" w:customStyle="1">
    <w:name w:val="Nagłówek 5 Znak"/>
    <w:basedOn w:val="DefaultParagraphFont"/>
    <w:uiPriority w:val="9"/>
    <w:semiHidden/>
    <w:qFormat/>
    <w:rsid w:val="00be0dda"/>
    <w:rPr>
      <w:rFonts w:eastAsia="" w:cs="" w:cstheme="majorBidi" w:eastAsiaTheme="majorEastAsia"/>
      <w:color w:val="2F5496" w:themeColor="accent1" w:themeShade="bf"/>
    </w:rPr>
  </w:style>
  <w:style w:type="character" w:styleId="Nagwek6Znak" w:customStyle="1">
    <w:name w:val="Nagłówek 6 Znak"/>
    <w:basedOn w:val="DefaultParagraphFont"/>
    <w:uiPriority w:val="9"/>
    <w:semiHidden/>
    <w:qFormat/>
    <w:rsid w:val="00be0dda"/>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be0dda"/>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be0dda"/>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be0dda"/>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be0dda"/>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be0dda"/>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uiPriority w:val="29"/>
    <w:qFormat/>
    <w:rsid w:val="00be0dda"/>
    <w:rPr>
      <w:i/>
      <w:iCs/>
      <w:color w:val="404040" w:themeColor="text1" w:themeTint="bf"/>
    </w:rPr>
  </w:style>
  <w:style w:type="character" w:styleId="IntenseEmphasis">
    <w:name w:val="Intense Emphasis"/>
    <w:basedOn w:val="DefaultParagraphFont"/>
    <w:uiPriority w:val="21"/>
    <w:qFormat/>
    <w:rsid w:val="00be0dda"/>
    <w:rPr>
      <w:i/>
      <w:iCs/>
      <w:color w:val="2F5496" w:themeColor="accent1" w:themeShade="bf"/>
    </w:rPr>
  </w:style>
  <w:style w:type="character" w:styleId="CytatintensywnyZnak" w:customStyle="1">
    <w:name w:val="Cytat intensywny Znak"/>
    <w:basedOn w:val="DefaultParagraphFont"/>
    <w:uiPriority w:val="30"/>
    <w:qFormat/>
    <w:rsid w:val="00be0dda"/>
    <w:rPr>
      <w:i/>
      <w:iCs/>
      <w:color w:val="2F5496" w:themeColor="accent1" w:themeShade="bf"/>
    </w:rPr>
  </w:style>
  <w:style w:type="character" w:styleId="IntenseReference">
    <w:name w:val="Intense Reference"/>
    <w:basedOn w:val="DefaultParagraphFont"/>
    <w:uiPriority w:val="32"/>
    <w:qFormat/>
    <w:rsid w:val="00be0dda"/>
    <w:rPr>
      <w:b/>
      <w:bCs/>
      <w:smallCaps/>
      <w:color w:val="2F5496" w:themeColor="accent1" w:themeShade="bf"/>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Tytu">
    <w:name w:val="Title"/>
    <w:basedOn w:val="Normal"/>
    <w:next w:val="Normal"/>
    <w:link w:val="TytuZnak"/>
    <w:uiPriority w:val="10"/>
    <w:qFormat/>
    <w:rsid w:val="00be0dda"/>
    <w:pPr>
      <w:spacing w:lineRule="auto" w:line="240" w:before="0" w:after="80"/>
      <w:contextualSpacing/>
    </w:pPr>
    <w:rPr>
      <w:rFonts w:ascii="Calibri Light" w:hAnsi="Calibri Light" w:eastAsia="" w:cs="" w:asciiTheme="majorHAnsi" w:cstheme="majorBidi" w:eastAsiaTheme="majorEastAsia" w:hAnsiTheme="majorHAnsi"/>
      <w:spacing w:val="-10"/>
      <w:sz w:val="56"/>
      <w:szCs w:val="56"/>
    </w:rPr>
  </w:style>
  <w:style w:type="paragraph" w:styleId="Podtytu">
    <w:name w:val="Subtitle"/>
    <w:basedOn w:val="Normal"/>
    <w:next w:val="Normal"/>
    <w:link w:val="PodtytuZnak"/>
    <w:uiPriority w:val="11"/>
    <w:qFormat/>
    <w:rsid w:val="00be0dd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be0dda"/>
    <w:pPr>
      <w:spacing w:before="160" w:after="0"/>
      <w:jc w:val="center"/>
    </w:pPr>
    <w:rPr>
      <w:i/>
      <w:iCs/>
      <w:color w:val="404040" w:themeColor="text1" w:themeTint="bf"/>
    </w:rPr>
  </w:style>
  <w:style w:type="paragraph" w:styleId="ListParagraph">
    <w:name w:val="List Paragraph"/>
    <w:basedOn w:val="Normal"/>
    <w:uiPriority w:val="34"/>
    <w:qFormat/>
    <w:rsid w:val="00be0dda"/>
    <w:pPr>
      <w:spacing w:before="0" w:after="0"/>
      <w:ind w:left="720" w:hanging="0"/>
      <w:contextualSpacing/>
    </w:pPr>
    <w:rPr/>
  </w:style>
  <w:style w:type="paragraph" w:styleId="IntenseQuote">
    <w:name w:val="Intense Quote"/>
    <w:basedOn w:val="Normal"/>
    <w:next w:val="Normal"/>
    <w:link w:val="CytatintensywnyZnak"/>
    <w:uiPriority w:val="30"/>
    <w:qFormat/>
    <w:rsid w:val="00be0dda"/>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LibreOffice/7.1.5.2$Windows_X86_64 LibreOffice_project/85f04e9f809797b8199d13c421bd8a2b025d52b5</Application>
  <AppVersion>15.0000</AppVersion>
  <Pages>3</Pages>
  <Words>996</Words>
  <Characters>6364</Characters>
  <CharactersWithSpaces>7466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2025-06-02T16:18:00Z</dcterms:created>
  <dc:creator>Jacek Jakobik</dc:creator>
  <dc:description/>
  <dc:language>pl-PL</dc:language>
  <cp:lastModifiedBy/>
  <cp:lastPrinted>2025-06-02T10:24:00Z</cp:lastPrinted>
  <dcterms:modified xsi:type="dcterms:W3CDTF">2025-06-13T14:10:47Z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